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D0365" w14:textId="77777777" w:rsidR="0020152D" w:rsidRPr="0020152D" w:rsidRDefault="0020152D" w:rsidP="0020152D">
      <w:pPr>
        <w:spacing w:after="0"/>
        <w:jc w:val="center"/>
        <w:rPr>
          <w:b/>
          <w:bCs/>
          <w:sz w:val="28"/>
          <w:szCs w:val="28"/>
        </w:rPr>
      </w:pPr>
      <w:r w:rsidRPr="0020152D">
        <w:rPr>
          <w:b/>
          <w:bCs/>
          <w:sz w:val="28"/>
          <w:szCs w:val="28"/>
        </w:rPr>
        <w:t>PHỤ LỤC 1</w:t>
      </w:r>
    </w:p>
    <w:p w14:paraId="1CF82EF5" w14:textId="77777777" w:rsidR="0020152D" w:rsidRPr="0020152D" w:rsidRDefault="0020152D" w:rsidP="0020152D">
      <w:pPr>
        <w:spacing w:after="0"/>
        <w:jc w:val="center"/>
        <w:rPr>
          <w:b/>
          <w:bCs/>
          <w:sz w:val="28"/>
          <w:szCs w:val="28"/>
        </w:rPr>
      </w:pPr>
      <w:r w:rsidRPr="0020152D">
        <w:rPr>
          <w:b/>
          <w:bCs/>
          <w:sz w:val="28"/>
          <w:szCs w:val="28"/>
        </w:rPr>
        <w:t>MỘT SỐ CHỈ TIÊU CHỦ YẾU</w:t>
      </w:r>
    </w:p>
    <w:p w14:paraId="782E2AD1" w14:textId="63CB2557" w:rsidR="0020152D" w:rsidRDefault="0020152D" w:rsidP="0020152D">
      <w:pPr>
        <w:spacing w:after="0"/>
        <w:jc w:val="center"/>
        <w:rPr>
          <w:i/>
          <w:iCs/>
          <w:sz w:val="28"/>
          <w:szCs w:val="28"/>
        </w:rPr>
      </w:pPr>
      <w:r w:rsidRPr="0020152D">
        <w:rPr>
          <w:i/>
          <w:iCs/>
          <w:sz w:val="28"/>
          <w:szCs w:val="28"/>
        </w:rPr>
        <w:t>(Kèm theo Chương trình hành động</w:t>
      </w:r>
      <w:r>
        <w:rPr>
          <w:i/>
          <w:iCs/>
          <w:sz w:val="28"/>
          <w:szCs w:val="28"/>
        </w:rPr>
        <w:t xml:space="preserve"> số      -CTr/ĐU, ngày      /6/2026</w:t>
      </w:r>
      <w:r w:rsidRPr="0020152D">
        <w:rPr>
          <w:i/>
          <w:iCs/>
          <w:sz w:val="28"/>
          <w:szCs w:val="28"/>
        </w:rPr>
        <w:t xml:space="preserve"> của Ban Chấp hành Đảng bộ phường Kỳ Lừa thực hiện Nghị quyết số 80-NQ/TW, ngày 07/01/2026 của Bộ Chính trị về phát triển văn hóa Việt Nam trong kỷ nguyên mới)</w:t>
      </w:r>
    </w:p>
    <w:p w14:paraId="6656CC0F" w14:textId="77777777" w:rsidR="006453B9" w:rsidRDefault="006453B9" w:rsidP="0020152D">
      <w:pPr>
        <w:spacing w:after="0"/>
        <w:jc w:val="center"/>
        <w:rPr>
          <w:i/>
          <w:iCs/>
          <w:sz w:val="28"/>
          <w:szCs w:val="28"/>
        </w:rPr>
      </w:pPr>
    </w:p>
    <w:tbl>
      <w:tblPr>
        <w:tblStyle w:val="TableGrid"/>
        <w:tblW w:w="13036" w:type="dxa"/>
        <w:tblLook w:val="04A0" w:firstRow="1" w:lastRow="0" w:firstColumn="1" w:lastColumn="0" w:noHBand="0" w:noVBand="1"/>
      </w:tblPr>
      <w:tblGrid>
        <w:gridCol w:w="704"/>
        <w:gridCol w:w="4677"/>
        <w:gridCol w:w="2835"/>
        <w:gridCol w:w="1843"/>
        <w:gridCol w:w="2977"/>
      </w:tblGrid>
      <w:tr w:rsidR="00131C26" w14:paraId="38AA4FBD" w14:textId="77777777" w:rsidTr="00131C26">
        <w:tc>
          <w:tcPr>
            <w:tcW w:w="704" w:type="dxa"/>
          </w:tcPr>
          <w:p w14:paraId="2A26C28E" w14:textId="4194A830" w:rsidR="00131C26" w:rsidRDefault="00131C26" w:rsidP="005302C0">
            <w:pPr>
              <w:jc w:val="center"/>
              <w:rPr>
                <w:i/>
                <w:iCs/>
                <w:sz w:val="28"/>
                <w:szCs w:val="28"/>
              </w:rPr>
            </w:pPr>
            <w:r w:rsidRPr="004F7515">
              <w:rPr>
                <w:b/>
                <w:bCs/>
                <w:i/>
                <w:iCs/>
              </w:rPr>
              <w:t>STT</w:t>
            </w:r>
          </w:p>
        </w:tc>
        <w:tc>
          <w:tcPr>
            <w:tcW w:w="4677" w:type="dxa"/>
          </w:tcPr>
          <w:p w14:paraId="2C02810D" w14:textId="46298945" w:rsidR="00131C26" w:rsidRPr="00BD5EA2" w:rsidRDefault="00131C26" w:rsidP="005302C0">
            <w:pPr>
              <w:jc w:val="center"/>
              <w:rPr>
                <w:sz w:val="28"/>
                <w:szCs w:val="28"/>
              </w:rPr>
            </w:pPr>
            <w:r w:rsidRPr="00BD5EA2">
              <w:rPr>
                <w:b/>
                <w:bCs/>
              </w:rPr>
              <w:t>Chỉ tiêu giai đoạn 2026 - 2030</w:t>
            </w:r>
          </w:p>
        </w:tc>
        <w:tc>
          <w:tcPr>
            <w:tcW w:w="2835" w:type="dxa"/>
          </w:tcPr>
          <w:p w14:paraId="771DA3CA" w14:textId="085DB32C" w:rsidR="00131C26" w:rsidRPr="00BD5EA2" w:rsidRDefault="00131C26" w:rsidP="005302C0">
            <w:pPr>
              <w:jc w:val="center"/>
              <w:rPr>
                <w:sz w:val="28"/>
                <w:szCs w:val="28"/>
              </w:rPr>
            </w:pPr>
            <w:r w:rsidRPr="00BD5EA2">
              <w:rPr>
                <w:b/>
                <w:bCs/>
              </w:rPr>
              <w:t>Định hướng giai đoạn 2030 - 2045</w:t>
            </w:r>
          </w:p>
        </w:tc>
        <w:tc>
          <w:tcPr>
            <w:tcW w:w="1843" w:type="dxa"/>
            <w:vAlign w:val="center"/>
          </w:tcPr>
          <w:p w14:paraId="27483DF1" w14:textId="081D28E4" w:rsidR="00131C26" w:rsidRPr="00BD5EA2" w:rsidRDefault="00131C26" w:rsidP="005302C0">
            <w:pPr>
              <w:jc w:val="center"/>
              <w:rPr>
                <w:sz w:val="28"/>
                <w:szCs w:val="28"/>
              </w:rPr>
            </w:pPr>
            <w:r w:rsidRPr="00BD5EA2">
              <w:rPr>
                <w:b/>
                <w:bCs/>
              </w:rPr>
              <w:t>Đơn vị chủ trì</w:t>
            </w:r>
          </w:p>
        </w:tc>
        <w:tc>
          <w:tcPr>
            <w:tcW w:w="2977" w:type="dxa"/>
            <w:vAlign w:val="center"/>
          </w:tcPr>
          <w:p w14:paraId="197D1946" w14:textId="46DFEAEF" w:rsidR="00131C26" w:rsidRPr="00BD5EA2" w:rsidRDefault="00131C26" w:rsidP="005302C0">
            <w:pPr>
              <w:jc w:val="center"/>
              <w:rPr>
                <w:sz w:val="28"/>
                <w:szCs w:val="28"/>
              </w:rPr>
            </w:pPr>
            <w:r w:rsidRPr="00BD5EA2">
              <w:rPr>
                <w:b/>
                <w:bCs/>
              </w:rPr>
              <w:t xml:space="preserve">Đơn vị </w:t>
            </w:r>
            <w:r>
              <w:rPr>
                <w:b/>
                <w:bCs/>
              </w:rPr>
              <w:t xml:space="preserve"> phối hợp </w:t>
            </w:r>
            <w:r w:rsidRPr="00BD5EA2">
              <w:rPr>
                <w:b/>
                <w:bCs/>
              </w:rPr>
              <w:t>tổ chức thực hiện</w:t>
            </w:r>
          </w:p>
        </w:tc>
      </w:tr>
      <w:tr w:rsidR="00131C26" w14:paraId="634DF448" w14:textId="77777777" w:rsidTr="00131C26">
        <w:tc>
          <w:tcPr>
            <w:tcW w:w="704" w:type="dxa"/>
            <w:vAlign w:val="center"/>
          </w:tcPr>
          <w:p w14:paraId="47C85B3D" w14:textId="3447B1B2" w:rsidR="00131C26" w:rsidRPr="001D19FB" w:rsidRDefault="00131C26" w:rsidP="008164BA">
            <w:pPr>
              <w:jc w:val="center"/>
            </w:pPr>
            <w:r w:rsidRPr="001D19FB">
              <w:t>1</w:t>
            </w:r>
          </w:p>
        </w:tc>
        <w:tc>
          <w:tcPr>
            <w:tcW w:w="4677" w:type="dxa"/>
            <w:vAlign w:val="center"/>
          </w:tcPr>
          <w:p w14:paraId="6C6105BB" w14:textId="3D78CB43" w:rsidR="00131C26" w:rsidRPr="00BD5EA2" w:rsidRDefault="00131C26" w:rsidP="00131C26">
            <w:pPr>
              <w:jc w:val="both"/>
              <w:rPr>
                <w:b/>
                <w:bCs/>
              </w:rPr>
            </w:pPr>
            <w:r w:rsidRPr="00BD5EA2">
              <w:t>100% chi bộ, cơ quan, đơn vị, trường học, khối phố tổ chức quán triệt, tuyên truyền, triển khai thực hiện Nghị quyết số 80-NQ/TW của Bộ Chính trị, Chương trình hành động của Tỉnh uỷ và Chương trình hành động của Đảng uỷ phường.</w:t>
            </w:r>
          </w:p>
        </w:tc>
        <w:tc>
          <w:tcPr>
            <w:tcW w:w="2835" w:type="dxa"/>
            <w:vAlign w:val="center"/>
          </w:tcPr>
          <w:p w14:paraId="6125B737" w14:textId="5E1A9BC2" w:rsidR="00131C26" w:rsidRPr="00BD5EA2" w:rsidRDefault="00131C26" w:rsidP="00131C26">
            <w:pPr>
              <w:jc w:val="both"/>
              <w:rPr>
                <w:b/>
                <w:bCs/>
              </w:rPr>
            </w:pPr>
            <w:r w:rsidRPr="00BD5EA2">
              <w:t>Duy trì thường xuyên, bảo đảm chất lượng, hiệu quả công tác quán triệt, tuyên truyền về phát triển văn hóa.</w:t>
            </w:r>
          </w:p>
        </w:tc>
        <w:tc>
          <w:tcPr>
            <w:tcW w:w="1843" w:type="dxa"/>
            <w:vAlign w:val="center"/>
          </w:tcPr>
          <w:p w14:paraId="7EF2A28D" w14:textId="3DD65A30" w:rsidR="00131C26" w:rsidRPr="00BD5EA2" w:rsidRDefault="00131C26" w:rsidP="00131C26">
            <w:pPr>
              <w:jc w:val="both"/>
              <w:rPr>
                <w:b/>
                <w:bCs/>
              </w:rPr>
            </w:pPr>
            <w:r w:rsidRPr="00BD5EA2">
              <w:t>Ban Xây dựng Đảng</w:t>
            </w:r>
          </w:p>
        </w:tc>
        <w:tc>
          <w:tcPr>
            <w:tcW w:w="2977" w:type="dxa"/>
            <w:vAlign w:val="center"/>
          </w:tcPr>
          <w:p w14:paraId="3D52F8CE" w14:textId="13373FBA" w:rsidR="00131C26" w:rsidRPr="00BD5EA2" w:rsidRDefault="00131C26" w:rsidP="00131C26">
            <w:pPr>
              <w:jc w:val="both"/>
              <w:rPr>
                <w:b/>
                <w:bCs/>
              </w:rPr>
            </w:pPr>
            <w:r w:rsidRPr="00BD5EA2">
              <w:t>Phòng Văn hóa - Xã hội</w:t>
            </w:r>
            <w:r>
              <w:t xml:space="preserve">, </w:t>
            </w:r>
            <w:r w:rsidRPr="00BD5EA2">
              <w:t>Các chi</w:t>
            </w:r>
            <w:r>
              <w:t>, đảng bộ cớ sở, chi</w:t>
            </w:r>
            <w:r w:rsidRPr="00BD5EA2">
              <w:t xml:space="preserve"> bộ</w:t>
            </w:r>
            <w:r>
              <w:t xml:space="preserve"> trực thuộc</w:t>
            </w:r>
            <w:r w:rsidRPr="00BD5EA2">
              <w:t>, cơ quan, đơn vị, trường học, khối phố</w:t>
            </w:r>
          </w:p>
        </w:tc>
      </w:tr>
      <w:tr w:rsidR="00131C26" w14:paraId="5CED4CDE" w14:textId="77777777" w:rsidTr="00131C26">
        <w:tc>
          <w:tcPr>
            <w:tcW w:w="704" w:type="dxa"/>
            <w:vAlign w:val="center"/>
          </w:tcPr>
          <w:p w14:paraId="224DDC43" w14:textId="189E8C7B" w:rsidR="00131C26" w:rsidRPr="001D19FB" w:rsidRDefault="00131C26" w:rsidP="008164BA">
            <w:pPr>
              <w:jc w:val="center"/>
            </w:pPr>
            <w:r w:rsidRPr="001D19FB">
              <w:t>2</w:t>
            </w:r>
          </w:p>
        </w:tc>
        <w:tc>
          <w:tcPr>
            <w:tcW w:w="4677" w:type="dxa"/>
            <w:vAlign w:val="center"/>
          </w:tcPr>
          <w:p w14:paraId="2007B655" w14:textId="15801278" w:rsidR="00131C26" w:rsidRPr="00BD5EA2" w:rsidRDefault="00131C26" w:rsidP="00131C26">
            <w:pPr>
              <w:jc w:val="both"/>
              <w:rPr>
                <w:b/>
                <w:bCs/>
              </w:rPr>
            </w:pPr>
            <w:r w:rsidRPr="00BD5EA2">
              <w:t>100% chi bộ trực thuộc đưa nội dung xây dựng và phát triển văn hóa, con người Kỳ Lừa vào sinh hoạt chi bộ, sinh hoạt chuyên đề hằng năm; phát huy vai trò nêu gương của cán bộ, đảng viên trong thực hiện chuẩn mực văn hóa, đạo đức công vụ.</w:t>
            </w:r>
          </w:p>
        </w:tc>
        <w:tc>
          <w:tcPr>
            <w:tcW w:w="2835" w:type="dxa"/>
            <w:vAlign w:val="center"/>
          </w:tcPr>
          <w:p w14:paraId="62EA9300" w14:textId="6D5147E2" w:rsidR="00131C26" w:rsidRPr="00BD5EA2" w:rsidRDefault="00131C26" w:rsidP="00131C26">
            <w:pPr>
              <w:jc w:val="both"/>
              <w:rPr>
                <w:b/>
                <w:bCs/>
              </w:rPr>
            </w:pPr>
            <w:r w:rsidRPr="00BD5EA2">
              <w:t>Tiếp tục nâng cao chất lượng sinh hoạt chi bộ gắn với xây dựng văn hóa trong Đảng và hệ thống chính trị.</w:t>
            </w:r>
          </w:p>
        </w:tc>
        <w:tc>
          <w:tcPr>
            <w:tcW w:w="1843" w:type="dxa"/>
            <w:vAlign w:val="center"/>
          </w:tcPr>
          <w:p w14:paraId="5C1642B6" w14:textId="623FA7A3" w:rsidR="00131C26" w:rsidRPr="00BD5EA2" w:rsidRDefault="00131C26" w:rsidP="00131C26">
            <w:pPr>
              <w:jc w:val="both"/>
              <w:rPr>
                <w:b/>
                <w:bCs/>
              </w:rPr>
            </w:pPr>
            <w:r w:rsidRPr="00BD5EA2">
              <w:t>Ban Xây dựng Đảng</w:t>
            </w:r>
          </w:p>
        </w:tc>
        <w:tc>
          <w:tcPr>
            <w:tcW w:w="2977" w:type="dxa"/>
            <w:vAlign w:val="center"/>
          </w:tcPr>
          <w:p w14:paraId="5D0A268B" w14:textId="367351A4" w:rsidR="00131C26" w:rsidRPr="00BD5EA2" w:rsidRDefault="00131C26" w:rsidP="00131C26">
            <w:pPr>
              <w:jc w:val="both"/>
              <w:rPr>
                <w:b/>
                <w:bCs/>
              </w:rPr>
            </w:pPr>
            <w:r w:rsidRPr="00BD5EA2">
              <w:t>Văn phòng Đảng uỷ</w:t>
            </w:r>
            <w:r>
              <w:t xml:space="preserve">, </w:t>
            </w:r>
            <w:r w:rsidRPr="00BD5EA2">
              <w:t>Các chi</w:t>
            </w:r>
            <w:r>
              <w:t>, đảng bộ cớ sở, chi</w:t>
            </w:r>
            <w:r w:rsidRPr="00BD5EA2">
              <w:t xml:space="preserve"> bộ</w:t>
            </w:r>
            <w:r>
              <w:t xml:space="preserve"> trực thuộc</w:t>
            </w:r>
          </w:p>
        </w:tc>
      </w:tr>
      <w:tr w:rsidR="00131C26" w14:paraId="6FB9F273" w14:textId="77777777" w:rsidTr="00131C26">
        <w:tc>
          <w:tcPr>
            <w:tcW w:w="704" w:type="dxa"/>
          </w:tcPr>
          <w:p w14:paraId="6A83E319" w14:textId="77777777" w:rsidR="00131C26" w:rsidRDefault="00131C26" w:rsidP="008164BA">
            <w:pPr>
              <w:jc w:val="center"/>
            </w:pPr>
          </w:p>
          <w:p w14:paraId="4777F98A" w14:textId="77777777" w:rsidR="00131C26" w:rsidRDefault="00131C26" w:rsidP="008164BA">
            <w:pPr>
              <w:jc w:val="center"/>
            </w:pPr>
          </w:p>
          <w:p w14:paraId="45FBA92C" w14:textId="60AC2799" w:rsidR="00131C26" w:rsidRPr="001D19FB" w:rsidRDefault="00131C26" w:rsidP="008164BA">
            <w:pPr>
              <w:jc w:val="center"/>
            </w:pPr>
            <w:r w:rsidRPr="001D19FB">
              <w:t>3</w:t>
            </w:r>
          </w:p>
        </w:tc>
        <w:tc>
          <w:tcPr>
            <w:tcW w:w="4677" w:type="dxa"/>
            <w:vAlign w:val="center"/>
          </w:tcPr>
          <w:p w14:paraId="6295E85B" w14:textId="339B8B48" w:rsidR="00131C26" w:rsidRPr="00BD5EA2" w:rsidRDefault="00131C26" w:rsidP="00131C26">
            <w:pPr>
              <w:jc w:val="both"/>
              <w:rPr>
                <w:b/>
                <w:bCs/>
              </w:rPr>
            </w:pPr>
            <w:r w:rsidRPr="00BD5EA2">
              <w:t>Hằng năm phấn đấu 95% hộ gia đình đạt danh hiệu “Gia đình văn hóa”; 90% khu dân cư đạt danh hiệu khu dân cư văn hóa; các cơ quan, đơn vị đạt chuẩn văn hóa theo quy định.</w:t>
            </w:r>
          </w:p>
        </w:tc>
        <w:tc>
          <w:tcPr>
            <w:tcW w:w="2835" w:type="dxa"/>
            <w:vAlign w:val="center"/>
          </w:tcPr>
          <w:p w14:paraId="2BFFD010" w14:textId="713B2431" w:rsidR="00131C26" w:rsidRPr="00BD5EA2" w:rsidRDefault="00131C26" w:rsidP="00131C26">
            <w:pPr>
              <w:jc w:val="both"/>
              <w:rPr>
                <w:b/>
                <w:bCs/>
              </w:rPr>
            </w:pPr>
            <w:r w:rsidRPr="00BD5EA2">
              <w:t>Tiếp tục nâng cao chất lượng phong trào “Toàn dân đoàn kết xây dựng đời sống văn hóa”; nâng cao thực chất các danh hiệu văn hóa.</w:t>
            </w:r>
          </w:p>
        </w:tc>
        <w:tc>
          <w:tcPr>
            <w:tcW w:w="1843" w:type="dxa"/>
            <w:vAlign w:val="center"/>
          </w:tcPr>
          <w:p w14:paraId="0FDDC9F6" w14:textId="04E8603E" w:rsidR="00131C26" w:rsidRPr="00BD5EA2" w:rsidRDefault="00131C26" w:rsidP="00131C26">
            <w:pPr>
              <w:jc w:val="both"/>
              <w:rPr>
                <w:b/>
                <w:bCs/>
              </w:rPr>
            </w:pPr>
            <w:r w:rsidRPr="00BD5EA2">
              <w:t>Phòng Văn hóa - Xã hội</w:t>
            </w:r>
          </w:p>
        </w:tc>
        <w:tc>
          <w:tcPr>
            <w:tcW w:w="2977" w:type="dxa"/>
            <w:vAlign w:val="center"/>
          </w:tcPr>
          <w:p w14:paraId="4A99952B" w14:textId="7F80567E" w:rsidR="00131C26" w:rsidRPr="00BD5EA2" w:rsidRDefault="00131C26" w:rsidP="00131C26">
            <w:pPr>
              <w:jc w:val="both"/>
              <w:rPr>
                <w:b/>
                <w:bCs/>
              </w:rPr>
            </w:pPr>
            <w:r w:rsidRPr="00BD5EA2">
              <w:t>Uỷ ban MTTQ Việt Nam phường và các tổ chức chính trị - xã hội</w:t>
            </w:r>
            <w:r>
              <w:t xml:space="preserve">, </w:t>
            </w:r>
            <w:r w:rsidRPr="00BD5EA2">
              <w:t>Các khối phố, cơ quan, đơn vị, trường học</w:t>
            </w:r>
          </w:p>
        </w:tc>
      </w:tr>
      <w:tr w:rsidR="00131C26" w14:paraId="3F599093" w14:textId="77777777" w:rsidTr="00131C26">
        <w:tc>
          <w:tcPr>
            <w:tcW w:w="704" w:type="dxa"/>
          </w:tcPr>
          <w:p w14:paraId="2E22488A" w14:textId="77777777" w:rsidR="00131C26" w:rsidRDefault="00131C26" w:rsidP="00C125B9">
            <w:pPr>
              <w:jc w:val="center"/>
            </w:pPr>
          </w:p>
          <w:p w14:paraId="31236DA1" w14:textId="77777777" w:rsidR="00131C26" w:rsidRDefault="00131C26" w:rsidP="00C125B9">
            <w:pPr>
              <w:jc w:val="center"/>
            </w:pPr>
          </w:p>
          <w:p w14:paraId="02895F3A" w14:textId="77777777" w:rsidR="00131C26" w:rsidRDefault="00131C26" w:rsidP="00C125B9">
            <w:pPr>
              <w:jc w:val="center"/>
            </w:pPr>
          </w:p>
          <w:p w14:paraId="498D115D" w14:textId="37318A09" w:rsidR="00131C26" w:rsidRPr="001D19FB" w:rsidRDefault="00131C26" w:rsidP="00C125B9">
            <w:pPr>
              <w:jc w:val="center"/>
            </w:pPr>
            <w:r w:rsidRPr="001D19FB">
              <w:t>4</w:t>
            </w:r>
          </w:p>
        </w:tc>
        <w:tc>
          <w:tcPr>
            <w:tcW w:w="4677" w:type="dxa"/>
            <w:vAlign w:val="center"/>
          </w:tcPr>
          <w:p w14:paraId="43DFFF51" w14:textId="24A4CA45" w:rsidR="00131C26" w:rsidRPr="00BD5EA2" w:rsidRDefault="00131C26" w:rsidP="00131C26">
            <w:pPr>
              <w:jc w:val="both"/>
              <w:rPr>
                <w:b/>
                <w:bCs/>
              </w:rPr>
            </w:pPr>
            <w:r w:rsidRPr="00BD5EA2">
              <w:t>Phấn đấu đến năm 2030 hoàn thành 10 tuyến phố đạt chuẩn văn minh đô thị, trong đó 30% trở lên là khu phố thông minh.</w:t>
            </w:r>
          </w:p>
        </w:tc>
        <w:tc>
          <w:tcPr>
            <w:tcW w:w="2835" w:type="dxa"/>
            <w:vAlign w:val="center"/>
          </w:tcPr>
          <w:p w14:paraId="03529ACD" w14:textId="60F06C64" w:rsidR="00131C26" w:rsidRPr="00BD5EA2" w:rsidRDefault="00131C26" w:rsidP="00131C26">
            <w:pPr>
              <w:jc w:val="both"/>
              <w:rPr>
                <w:b/>
                <w:bCs/>
              </w:rPr>
            </w:pPr>
            <w:r w:rsidRPr="00BD5EA2">
              <w:t>Mở rộng các tuyến phố văn minh, khu phố thông minh; xây dựng đô thị văn minh, hiện đại, giàu bản sắc văn hóa.</w:t>
            </w:r>
          </w:p>
        </w:tc>
        <w:tc>
          <w:tcPr>
            <w:tcW w:w="1843" w:type="dxa"/>
            <w:vAlign w:val="center"/>
          </w:tcPr>
          <w:p w14:paraId="13094BD2" w14:textId="027B226E" w:rsidR="00131C26" w:rsidRPr="00BD5EA2" w:rsidRDefault="00131C26" w:rsidP="00131C26">
            <w:pPr>
              <w:jc w:val="both"/>
              <w:rPr>
                <w:b/>
                <w:bCs/>
              </w:rPr>
            </w:pPr>
            <w:r w:rsidRPr="00BD5EA2">
              <w:t>Phòng Kinh tế, Hạ tầng và Đô thị</w:t>
            </w:r>
          </w:p>
        </w:tc>
        <w:tc>
          <w:tcPr>
            <w:tcW w:w="2977" w:type="dxa"/>
            <w:vAlign w:val="center"/>
          </w:tcPr>
          <w:p w14:paraId="66AE643F" w14:textId="229EEF37" w:rsidR="00131C26" w:rsidRPr="00BD5EA2" w:rsidRDefault="00131C26" w:rsidP="00131C26">
            <w:pPr>
              <w:jc w:val="both"/>
              <w:rPr>
                <w:b/>
                <w:bCs/>
              </w:rPr>
            </w:pPr>
            <w:r w:rsidRPr="00BD5EA2">
              <w:t>Phòng Văn hóa - Xã hội</w:t>
            </w:r>
            <w:r>
              <w:t xml:space="preserve">, </w:t>
            </w:r>
            <w:r w:rsidRPr="00BD5EA2">
              <w:t>Các khối phố</w:t>
            </w:r>
          </w:p>
        </w:tc>
      </w:tr>
      <w:tr w:rsidR="00131C26" w14:paraId="5F788281" w14:textId="77777777" w:rsidTr="00131C26">
        <w:tc>
          <w:tcPr>
            <w:tcW w:w="704" w:type="dxa"/>
          </w:tcPr>
          <w:p w14:paraId="6965E0A7" w14:textId="77777777" w:rsidR="00131C26" w:rsidRDefault="00131C26" w:rsidP="00C125B9">
            <w:pPr>
              <w:jc w:val="center"/>
            </w:pPr>
          </w:p>
          <w:p w14:paraId="31EF2553" w14:textId="77777777" w:rsidR="00131C26" w:rsidRDefault="00131C26" w:rsidP="00C125B9">
            <w:pPr>
              <w:jc w:val="center"/>
            </w:pPr>
          </w:p>
          <w:p w14:paraId="12F9EC30" w14:textId="77777777" w:rsidR="00131C26" w:rsidRDefault="00131C26" w:rsidP="00C125B9">
            <w:pPr>
              <w:jc w:val="center"/>
            </w:pPr>
          </w:p>
          <w:p w14:paraId="65D71EBA" w14:textId="77777777" w:rsidR="00131C26" w:rsidRDefault="00131C26" w:rsidP="00C125B9">
            <w:pPr>
              <w:jc w:val="center"/>
            </w:pPr>
          </w:p>
          <w:p w14:paraId="3C668D6F" w14:textId="18E6B5BF" w:rsidR="00131C26" w:rsidRPr="001D19FB" w:rsidRDefault="00131C26" w:rsidP="00C125B9">
            <w:pPr>
              <w:jc w:val="center"/>
            </w:pPr>
            <w:r w:rsidRPr="001D19FB">
              <w:t>5</w:t>
            </w:r>
          </w:p>
        </w:tc>
        <w:tc>
          <w:tcPr>
            <w:tcW w:w="4677" w:type="dxa"/>
            <w:vAlign w:val="center"/>
          </w:tcPr>
          <w:p w14:paraId="454CA641" w14:textId="6245BA80" w:rsidR="00131C26" w:rsidRPr="00BD5EA2" w:rsidRDefault="00131C26" w:rsidP="00131C26">
            <w:pPr>
              <w:jc w:val="both"/>
              <w:rPr>
                <w:b/>
                <w:bCs/>
              </w:rPr>
            </w:pPr>
            <w:r w:rsidRPr="00BD5EA2">
              <w:t>Xây dựng 01 điểm du lịch cộng đồng gắn với bảo tồn văn hóa ở địa phương; khai thác hiệu quả các giá trị văn hóa, lịch sử, cảnh quan, lễ hội, ẩm thực và sản phẩm đặc trưng phục vụ phát triển du lịch, thương mại, dịch vụ.</w:t>
            </w:r>
          </w:p>
        </w:tc>
        <w:tc>
          <w:tcPr>
            <w:tcW w:w="2835" w:type="dxa"/>
            <w:vAlign w:val="center"/>
          </w:tcPr>
          <w:p w14:paraId="2892D7AB" w14:textId="2810BBAF" w:rsidR="00131C26" w:rsidRPr="00BD5EA2" w:rsidRDefault="00131C26" w:rsidP="00131C26">
            <w:pPr>
              <w:jc w:val="both"/>
              <w:rPr>
                <w:b/>
                <w:bCs/>
              </w:rPr>
            </w:pPr>
            <w:r w:rsidRPr="00BD5EA2">
              <w:t>Hình thành sản phẩm du lịch văn hóa đặc trưng, góp phần phát triển kinh tế đô thị và quảng bá hình ảnh phường Kỳ Lừa.</w:t>
            </w:r>
          </w:p>
        </w:tc>
        <w:tc>
          <w:tcPr>
            <w:tcW w:w="1843" w:type="dxa"/>
            <w:vAlign w:val="center"/>
          </w:tcPr>
          <w:p w14:paraId="24687C9C" w14:textId="24FCF3BB" w:rsidR="00131C26" w:rsidRPr="00BD5EA2" w:rsidRDefault="00131C26" w:rsidP="00131C26">
            <w:pPr>
              <w:jc w:val="both"/>
              <w:rPr>
                <w:b/>
                <w:bCs/>
              </w:rPr>
            </w:pPr>
            <w:r w:rsidRPr="00BD5EA2">
              <w:t>Phòng Văn hóa - Xã hội</w:t>
            </w:r>
          </w:p>
        </w:tc>
        <w:tc>
          <w:tcPr>
            <w:tcW w:w="2977" w:type="dxa"/>
            <w:vAlign w:val="center"/>
          </w:tcPr>
          <w:p w14:paraId="57813D12" w14:textId="76BF9C49" w:rsidR="00131C26" w:rsidRPr="00BD5EA2" w:rsidRDefault="00131C26" w:rsidP="00131C26">
            <w:pPr>
              <w:jc w:val="both"/>
              <w:rPr>
                <w:b/>
                <w:bCs/>
              </w:rPr>
            </w:pPr>
            <w:r w:rsidRPr="00BD5EA2">
              <w:t>Phòng Kinh tế, Hạ tầng và Đô thị</w:t>
            </w:r>
            <w:r>
              <w:t>, c</w:t>
            </w:r>
            <w:r w:rsidRPr="00BD5EA2">
              <w:t>ác cơ quan, đơn vị liên quan; các khối phố</w:t>
            </w:r>
          </w:p>
        </w:tc>
      </w:tr>
      <w:tr w:rsidR="00131C26" w14:paraId="74B191A5" w14:textId="77777777" w:rsidTr="00131C26">
        <w:tc>
          <w:tcPr>
            <w:tcW w:w="704" w:type="dxa"/>
            <w:vAlign w:val="center"/>
          </w:tcPr>
          <w:p w14:paraId="18CDE6BE" w14:textId="76EDA10B" w:rsidR="00131C26" w:rsidRPr="001D19FB" w:rsidRDefault="00131C26" w:rsidP="00C125B9">
            <w:pPr>
              <w:jc w:val="center"/>
            </w:pPr>
            <w:r w:rsidRPr="001D19FB">
              <w:t>6</w:t>
            </w:r>
          </w:p>
        </w:tc>
        <w:tc>
          <w:tcPr>
            <w:tcW w:w="4677" w:type="dxa"/>
            <w:vAlign w:val="center"/>
          </w:tcPr>
          <w:p w14:paraId="2E19C0CB" w14:textId="154818DC" w:rsidR="00131C26" w:rsidRPr="00BD5EA2" w:rsidRDefault="00131C26" w:rsidP="00131C26">
            <w:pPr>
              <w:jc w:val="both"/>
              <w:rPr>
                <w:b/>
                <w:bCs/>
              </w:rPr>
            </w:pPr>
            <w:r w:rsidRPr="00BD5EA2">
              <w:t>100% di tích lịch sử, văn hóa, danh lam thắng cảnh, lễ hội, điểm sinh hoạt văn hóa cộng đồng trên địa bàn được rà soát, quản lý, bảo tồn và phát huy giá trị.</w:t>
            </w:r>
          </w:p>
        </w:tc>
        <w:tc>
          <w:tcPr>
            <w:tcW w:w="2835" w:type="dxa"/>
            <w:vAlign w:val="center"/>
          </w:tcPr>
          <w:p w14:paraId="2D06074F" w14:textId="09EE7F20" w:rsidR="00131C26" w:rsidRPr="00BD5EA2" w:rsidRDefault="00131C26" w:rsidP="00131C26">
            <w:pPr>
              <w:jc w:val="both"/>
              <w:rPr>
                <w:b/>
                <w:bCs/>
              </w:rPr>
            </w:pPr>
            <w:r w:rsidRPr="00BD5EA2">
              <w:t>Tiếp tục bảo tồn, phát huy hiệu quả các giá trị văn hóa, lịch sử gắn với giáo dục truyền thống và phát triển du lịch bền vững.</w:t>
            </w:r>
          </w:p>
        </w:tc>
        <w:tc>
          <w:tcPr>
            <w:tcW w:w="1843" w:type="dxa"/>
            <w:vAlign w:val="center"/>
          </w:tcPr>
          <w:p w14:paraId="5B533A30" w14:textId="1D8FA1E1" w:rsidR="00131C26" w:rsidRPr="00BD5EA2" w:rsidRDefault="00131C26" w:rsidP="00131C26">
            <w:pPr>
              <w:jc w:val="both"/>
              <w:rPr>
                <w:b/>
                <w:bCs/>
              </w:rPr>
            </w:pPr>
            <w:r w:rsidRPr="00BD5EA2">
              <w:t>Phòng Văn hóa - Xã hội</w:t>
            </w:r>
          </w:p>
        </w:tc>
        <w:tc>
          <w:tcPr>
            <w:tcW w:w="2977" w:type="dxa"/>
            <w:vAlign w:val="center"/>
          </w:tcPr>
          <w:p w14:paraId="22EC3122" w14:textId="2A41F182" w:rsidR="00131C26" w:rsidRPr="00BD5EA2" w:rsidRDefault="00131C26" w:rsidP="00131C26">
            <w:pPr>
              <w:jc w:val="both"/>
              <w:rPr>
                <w:b/>
                <w:bCs/>
              </w:rPr>
            </w:pPr>
            <w:r w:rsidRPr="00BD5EA2">
              <w:t>Ban Quản lý di tích; các khối phố</w:t>
            </w:r>
          </w:p>
        </w:tc>
      </w:tr>
      <w:tr w:rsidR="00131C26" w14:paraId="78D74691" w14:textId="77777777" w:rsidTr="00131C26">
        <w:tc>
          <w:tcPr>
            <w:tcW w:w="704" w:type="dxa"/>
          </w:tcPr>
          <w:p w14:paraId="357B11DC" w14:textId="77777777" w:rsidR="00131C26" w:rsidRDefault="00131C26" w:rsidP="00C125B9">
            <w:pPr>
              <w:jc w:val="center"/>
            </w:pPr>
          </w:p>
          <w:p w14:paraId="4FDFD210" w14:textId="77777777" w:rsidR="00131C26" w:rsidRDefault="00131C26" w:rsidP="00C125B9">
            <w:pPr>
              <w:jc w:val="center"/>
            </w:pPr>
          </w:p>
          <w:p w14:paraId="5767CAF9" w14:textId="77777777" w:rsidR="00131C26" w:rsidRDefault="00131C26" w:rsidP="00C125B9">
            <w:pPr>
              <w:jc w:val="center"/>
            </w:pPr>
          </w:p>
          <w:p w14:paraId="484B1F20" w14:textId="588A944A" w:rsidR="00131C26" w:rsidRPr="001D19FB" w:rsidRDefault="00131C26" w:rsidP="00C125B9">
            <w:pPr>
              <w:jc w:val="center"/>
            </w:pPr>
            <w:r w:rsidRPr="001D19FB">
              <w:t>7</w:t>
            </w:r>
          </w:p>
        </w:tc>
        <w:tc>
          <w:tcPr>
            <w:tcW w:w="4677" w:type="dxa"/>
            <w:vAlign w:val="center"/>
          </w:tcPr>
          <w:p w14:paraId="04F5E4F2" w14:textId="732CFEC6" w:rsidR="00131C26" w:rsidRPr="00BD5EA2" w:rsidRDefault="00131C26" w:rsidP="00131C26">
            <w:pPr>
              <w:jc w:val="both"/>
              <w:rPr>
                <w:b/>
                <w:bCs/>
              </w:rPr>
            </w:pPr>
            <w:r w:rsidRPr="00BD5EA2">
              <w:t xml:space="preserve">Duy trì, phát huy giá trị các lễ hội, di tích, không gian văn hóa tiêu biểu trên địa bàn như Lễ hội đền Tả Phủ, Lễ hội chùa Bắc Nga, Phố đi bộ Kỳ Lừa, </w:t>
            </w:r>
            <w:r w:rsidR="00F36D8A">
              <w:t>Lễ hội Đình Phố Ngầu</w:t>
            </w:r>
            <w:r w:rsidRPr="00BD5EA2">
              <w:t xml:space="preserve"> và các loại hình văn hóa truyền thống.</w:t>
            </w:r>
          </w:p>
        </w:tc>
        <w:tc>
          <w:tcPr>
            <w:tcW w:w="2835" w:type="dxa"/>
            <w:vAlign w:val="center"/>
          </w:tcPr>
          <w:p w14:paraId="685CD4FA" w14:textId="6B15EE28" w:rsidR="00131C26" w:rsidRPr="00BD5EA2" w:rsidRDefault="00131C26" w:rsidP="00131C26">
            <w:pPr>
              <w:jc w:val="both"/>
              <w:rPr>
                <w:b/>
                <w:bCs/>
              </w:rPr>
            </w:pPr>
            <w:r w:rsidRPr="00BD5EA2">
              <w:t>Nâng tầm các hoạt động lễ hội, văn hóa truyền thống trở thành sản phẩm văn hóa, du lịch đặc trưng của địa phương.</w:t>
            </w:r>
          </w:p>
        </w:tc>
        <w:tc>
          <w:tcPr>
            <w:tcW w:w="1843" w:type="dxa"/>
            <w:vAlign w:val="center"/>
          </w:tcPr>
          <w:p w14:paraId="4C637C72" w14:textId="435E527E" w:rsidR="00131C26" w:rsidRPr="00BD5EA2" w:rsidRDefault="00131C26" w:rsidP="00131C26">
            <w:pPr>
              <w:jc w:val="both"/>
              <w:rPr>
                <w:b/>
                <w:bCs/>
              </w:rPr>
            </w:pPr>
            <w:r w:rsidRPr="00BD5EA2">
              <w:t>Phòng Văn hóa - Xã hội</w:t>
            </w:r>
          </w:p>
        </w:tc>
        <w:tc>
          <w:tcPr>
            <w:tcW w:w="2977" w:type="dxa"/>
            <w:vAlign w:val="center"/>
          </w:tcPr>
          <w:p w14:paraId="1FAA0466" w14:textId="53E9E795" w:rsidR="00131C26" w:rsidRPr="00BD5EA2" w:rsidRDefault="00131C26" w:rsidP="00131C26">
            <w:pPr>
              <w:jc w:val="both"/>
              <w:rPr>
                <w:b/>
                <w:bCs/>
              </w:rPr>
            </w:pPr>
            <w:r w:rsidRPr="00BD5EA2">
              <w:t>Uỷ ban MTTQ Việt Nam phường và các tổ chức chính trị - xã hội</w:t>
            </w:r>
            <w:r>
              <w:t xml:space="preserve">, </w:t>
            </w:r>
            <w:r w:rsidRPr="00BD5EA2">
              <w:t>Các khối phố, Ban Quản lý di tích</w:t>
            </w:r>
          </w:p>
        </w:tc>
      </w:tr>
      <w:tr w:rsidR="00131C26" w14:paraId="7D9E1595" w14:textId="77777777" w:rsidTr="00131C26">
        <w:tc>
          <w:tcPr>
            <w:tcW w:w="704" w:type="dxa"/>
          </w:tcPr>
          <w:p w14:paraId="05CDCA06" w14:textId="77777777" w:rsidR="00131C26" w:rsidRDefault="00131C26" w:rsidP="00C125B9">
            <w:pPr>
              <w:jc w:val="center"/>
            </w:pPr>
          </w:p>
          <w:p w14:paraId="28FD7120" w14:textId="77777777" w:rsidR="00131C26" w:rsidRDefault="00131C26" w:rsidP="00C125B9">
            <w:pPr>
              <w:jc w:val="center"/>
            </w:pPr>
          </w:p>
          <w:p w14:paraId="251DA2B2" w14:textId="77777777" w:rsidR="00131C26" w:rsidRDefault="00131C26" w:rsidP="00C125B9">
            <w:pPr>
              <w:jc w:val="center"/>
            </w:pPr>
          </w:p>
          <w:p w14:paraId="75046A98" w14:textId="1DE9959E" w:rsidR="00131C26" w:rsidRPr="001D19FB" w:rsidRDefault="00131C26" w:rsidP="00C125B9">
            <w:pPr>
              <w:jc w:val="center"/>
            </w:pPr>
            <w:r w:rsidRPr="001D19FB">
              <w:t>8</w:t>
            </w:r>
          </w:p>
        </w:tc>
        <w:tc>
          <w:tcPr>
            <w:tcW w:w="4677" w:type="dxa"/>
            <w:vAlign w:val="center"/>
          </w:tcPr>
          <w:p w14:paraId="457A3976" w14:textId="69546885" w:rsidR="00131C26" w:rsidRPr="00BD5EA2" w:rsidRDefault="00131C26" w:rsidP="00131C26">
            <w:pPr>
              <w:jc w:val="both"/>
              <w:rPr>
                <w:b/>
                <w:bCs/>
              </w:rPr>
            </w:pPr>
            <w:r w:rsidRPr="00BD5EA2">
              <w:t>100% nhà văn hóa, điểm sinh hoạt cộng đồng, thiết chế văn hóa cơ sở được rà soát, quản lý, khai thác, sử dụng đúng mục đích; phấn đấu 90% trở lên hoạt động thường xuyên, hiệu quả.</w:t>
            </w:r>
          </w:p>
        </w:tc>
        <w:tc>
          <w:tcPr>
            <w:tcW w:w="2835" w:type="dxa"/>
            <w:vAlign w:val="center"/>
          </w:tcPr>
          <w:p w14:paraId="7CFB4199" w14:textId="663AAA4E" w:rsidR="00131C26" w:rsidRPr="00BD5EA2" w:rsidRDefault="00131C26" w:rsidP="00131C26">
            <w:pPr>
              <w:jc w:val="both"/>
              <w:rPr>
                <w:b/>
                <w:bCs/>
              </w:rPr>
            </w:pPr>
            <w:r w:rsidRPr="00BD5EA2">
              <w:t>100% thiết chế văn hóa cơ sở hoạt động thường xuyên, hiệu quả, đáp ứng nhu cầu sinh hoạt, sáng tạo và thụ hưởng văn hóa của Nhân dân.</w:t>
            </w:r>
          </w:p>
        </w:tc>
        <w:tc>
          <w:tcPr>
            <w:tcW w:w="1843" w:type="dxa"/>
            <w:vAlign w:val="center"/>
          </w:tcPr>
          <w:p w14:paraId="4E1093B3" w14:textId="73A45311" w:rsidR="00131C26" w:rsidRPr="00BD5EA2" w:rsidRDefault="00131C26" w:rsidP="00131C26">
            <w:pPr>
              <w:jc w:val="both"/>
              <w:rPr>
                <w:b/>
                <w:bCs/>
              </w:rPr>
            </w:pPr>
            <w:r w:rsidRPr="00BD5EA2">
              <w:t>Phòng Văn hóa - Xã hội</w:t>
            </w:r>
          </w:p>
        </w:tc>
        <w:tc>
          <w:tcPr>
            <w:tcW w:w="2977" w:type="dxa"/>
            <w:vAlign w:val="center"/>
          </w:tcPr>
          <w:p w14:paraId="6CFF2373" w14:textId="15313FC0" w:rsidR="00131C26" w:rsidRPr="00BD5EA2" w:rsidRDefault="00131C26" w:rsidP="00131C26">
            <w:pPr>
              <w:jc w:val="both"/>
              <w:rPr>
                <w:b/>
                <w:bCs/>
              </w:rPr>
            </w:pPr>
            <w:r w:rsidRPr="00BD5EA2">
              <w:t>Phòng Kinh tế, Hạ tầng và Đô thị</w:t>
            </w:r>
            <w:r>
              <w:t xml:space="preserve">, </w:t>
            </w:r>
            <w:r w:rsidRPr="00BD5EA2">
              <w:t>Trung tâm Dịch vụ công ích; các khối phố</w:t>
            </w:r>
          </w:p>
        </w:tc>
      </w:tr>
      <w:tr w:rsidR="00131C26" w14:paraId="6772FE07" w14:textId="77777777" w:rsidTr="00131C26">
        <w:tc>
          <w:tcPr>
            <w:tcW w:w="704" w:type="dxa"/>
          </w:tcPr>
          <w:p w14:paraId="300466E1" w14:textId="77777777" w:rsidR="00131C26" w:rsidRDefault="00131C26" w:rsidP="00C125B9">
            <w:pPr>
              <w:jc w:val="center"/>
            </w:pPr>
          </w:p>
          <w:p w14:paraId="6DB54C35" w14:textId="77777777" w:rsidR="00131C26" w:rsidRDefault="00131C26" w:rsidP="00C125B9">
            <w:pPr>
              <w:jc w:val="center"/>
            </w:pPr>
          </w:p>
          <w:p w14:paraId="3C25C826" w14:textId="77777777" w:rsidR="00131C26" w:rsidRDefault="00131C26" w:rsidP="00C125B9">
            <w:pPr>
              <w:jc w:val="center"/>
            </w:pPr>
          </w:p>
          <w:p w14:paraId="5302DA9E" w14:textId="5F398164" w:rsidR="00131C26" w:rsidRPr="001D19FB" w:rsidRDefault="00131C26" w:rsidP="00C125B9">
            <w:pPr>
              <w:jc w:val="center"/>
            </w:pPr>
            <w:r w:rsidRPr="001D19FB">
              <w:t>9</w:t>
            </w:r>
          </w:p>
        </w:tc>
        <w:tc>
          <w:tcPr>
            <w:tcW w:w="4677" w:type="dxa"/>
            <w:vAlign w:val="center"/>
          </w:tcPr>
          <w:p w14:paraId="2F89C813" w14:textId="6518DB52" w:rsidR="00131C26" w:rsidRPr="00BD5EA2" w:rsidRDefault="00131C26" w:rsidP="00131C26">
            <w:pPr>
              <w:jc w:val="both"/>
              <w:rPr>
                <w:b/>
                <w:bCs/>
              </w:rPr>
            </w:pPr>
            <w:r w:rsidRPr="00BD5EA2">
              <w:t>100% trường học trên địa bàn triển khai hiệu quả các hoạt động giáo dục đạo đức, lối sống, văn hóa ứng xử, giáo dục di sản và lịch sử địa phương.</w:t>
            </w:r>
          </w:p>
        </w:tc>
        <w:tc>
          <w:tcPr>
            <w:tcW w:w="2835" w:type="dxa"/>
            <w:vAlign w:val="center"/>
          </w:tcPr>
          <w:p w14:paraId="53CD5139" w14:textId="05A2CD9B" w:rsidR="00131C26" w:rsidRPr="00BD5EA2" w:rsidRDefault="00131C26" w:rsidP="00131C26">
            <w:pPr>
              <w:jc w:val="both"/>
              <w:rPr>
                <w:b/>
                <w:bCs/>
              </w:rPr>
            </w:pPr>
            <w:r w:rsidRPr="00BD5EA2">
              <w:t>Đẩy mạnh giáo dục văn hóa, nghệ thuật, lịch sử địa phương; xây dựng môi trường văn hóa học đường an toàn, lành mạnh, thân thiện.</w:t>
            </w:r>
          </w:p>
        </w:tc>
        <w:tc>
          <w:tcPr>
            <w:tcW w:w="1843" w:type="dxa"/>
            <w:vAlign w:val="center"/>
          </w:tcPr>
          <w:p w14:paraId="06B1ED20" w14:textId="51B95FEA" w:rsidR="00131C26" w:rsidRPr="00BD5EA2" w:rsidRDefault="00131C26" w:rsidP="00131C26">
            <w:pPr>
              <w:jc w:val="both"/>
              <w:rPr>
                <w:b/>
                <w:bCs/>
              </w:rPr>
            </w:pPr>
            <w:r w:rsidRPr="00BD5EA2">
              <w:t>Phòng Văn hóa - Xã hội</w:t>
            </w:r>
          </w:p>
        </w:tc>
        <w:tc>
          <w:tcPr>
            <w:tcW w:w="2977" w:type="dxa"/>
            <w:vAlign w:val="center"/>
          </w:tcPr>
          <w:p w14:paraId="72E289F0" w14:textId="0B8BD300" w:rsidR="00131C26" w:rsidRPr="00BD5EA2" w:rsidRDefault="00131C26" w:rsidP="00131C26">
            <w:pPr>
              <w:jc w:val="both"/>
              <w:rPr>
                <w:b/>
                <w:bCs/>
              </w:rPr>
            </w:pPr>
            <w:r w:rsidRPr="00BD5EA2">
              <w:t>Các trường học</w:t>
            </w:r>
          </w:p>
        </w:tc>
      </w:tr>
      <w:tr w:rsidR="00131C26" w14:paraId="47EDFD2A" w14:textId="77777777" w:rsidTr="00131C26">
        <w:tc>
          <w:tcPr>
            <w:tcW w:w="704" w:type="dxa"/>
          </w:tcPr>
          <w:p w14:paraId="79F71041" w14:textId="77777777" w:rsidR="00131C26" w:rsidRDefault="00131C26" w:rsidP="00131C26">
            <w:pPr>
              <w:jc w:val="center"/>
            </w:pPr>
          </w:p>
          <w:p w14:paraId="6B4B680D" w14:textId="77777777" w:rsidR="00131C26" w:rsidRDefault="00131C26" w:rsidP="00131C26">
            <w:pPr>
              <w:jc w:val="center"/>
            </w:pPr>
          </w:p>
          <w:p w14:paraId="275C20E2" w14:textId="77777777" w:rsidR="00131C26" w:rsidRDefault="00131C26" w:rsidP="00131C26">
            <w:pPr>
              <w:jc w:val="center"/>
            </w:pPr>
          </w:p>
          <w:p w14:paraId="24B1A225" w14:textId="46E3AC77" w:rsidR="00131C26" w:rsidRPr="001D19FB" w:rsidRDefault="00131C26" w:rsidP="00131C26">
            <w:pPr>
              <w:jc w:val="center"/>
            </w:pPr>
            <w:r w:rsidRPr="001D19FB">
              <w:t>10</w:t>
            </w:r>
          </w:p>
        </w:tc>
        <w:tc>
          <w:tcPr>
            <w:tcW w:w="4677" w:type="dxa"/>
            <w:vAlign w:val="center"/>
          </w:tcPr>
          <w:p w14:paraId="4DA61DF0" w14:textId="752CCFD8" w:rsidR="00131C26" w:rsidRPr="00BD5EA2" w:rsidRDefault="00131C26" w:rsidP="00131C26">
            <w:pPr>
              <w:jc w:val="both"/>
            </w:pPr>
            <w:r w:rsidRPr="00BD5EA2">
              <w:lastRenderedPageBreak/>
              <w:t xml:space="preserve">Phối hợp thực hiện số hóa, cập nhật dữ liệu đối với các di tích, di sản, lễ hội và tài </w:t>
            </w:r>
            <w:r w:rsidRPr="00BD5EA2">
              <w:lastRenderedPageBreak/>
              <w:t>nguyên văn hóa trên địa bàn theo hướng dẫn của cấp trên.</w:t>
            </w:r>
          </w:p>
        </w:tc>
        <w:tc>
          <w:tcPr>
            <w:tcW w:w="2835" w:type="dxa"/>
            <w:vAlign w:val="center"/>
          </w:tcPr>
          <w:p w14:paraId="78D75860" w14:textId="532E975D" w:rsidR="00131C26" w:rsidRPr="00BD5EA2" w:rsidRDefault="00131C26" w:rsidP="00131C26">
            <w:pPr>
              <w:jc w:val="both"/>
            </w:pPr>
            <w:r w:rsidRPr="00BD5EA2">
              <w:lastRenderedPageBreak/>
              <w:t xml:space="preserve">Hoàn thiện cơ sở dữ liệu số về văn hóa; đẩy mạnh </w:t>
            </w:r>
            <w:r w:rsidRPr="00BD5EA2">
              <w:lastRenderedPageBreak/>
              <w:t>ứng dụng công nghệ số trong quảng bá, quản lý và phát huy các giá trị văn hóa.</w:t>
            </w:r>
          </w:p>
        </w:tc>
        <w:tc>
          <w:tcPr>
            <w:tcW w:w="1843" w:type="dxa"/>
            <w:vAlign w:val="center"/>
          </w:tcPr>
          <w:p w14:paraId="7866530F" w14:textId="3D71BB67" w:rsidR="00131C26" w:rsidRPr="00BD5EA2" w:rsidRDefault="00131C26" w:rsidP="00131C26">
            <w:pPr>
              <w:jc w:val="both"/>
            </w:pPr>
            <w:r w:rsidRPr="00BD5EA2">
              <w:lastRenderedPageBreak/>
              <w:t>Phòng Văn hóa - Xã hội</w:t>
            </w:r>
          </w:p>
        </w:tc>
        <w:tc>
          <w:tcPr>
            <w:tcW w:w="2977" w:type="dxa"/>
            <w:vAlign w:val="center"/>
          </w:tcPr>
          <w:p w14:paraId="088D4DC7" w14:textId="4AC44342" w:rsidR="00131C26" w:rsidRPr="00BD5EA2" w:rsidRDefault="00131C26" w:rsidP="00131C26">
            <w:pPr>
              <w:jc w:val="both"/>
            </w:pPr>
            <w:r w:rsidRPr="00BD5EA2">
              <w:t>Văn phòng HĐND và UBND phường</w:t>
            </w:r>
          </w:p>
        </w:tc>
      </w:tr>
      <w:tr w:rsidR="00131C26" w14:paraId="1DD3474C" w14:textId="77777777" w:rsidTr="00131C26">
        <w:tc>
          <w:tcPr>
            <w:tcW w:w="704" w:type="dxa"/>
          </w:tcPr>
          <w:p w14:paraId="01216F3E" w14:textId="77777777" w:rsidR="00131C26" w:rsidRDefault="00131C26" w:rsidP="00131C26">
            <w:pPr>
              <w:jc w:val="center"/>
            </w:pPr>
          </w:p>
          <w:p w14:paraId="17C36C41" w14:textId="77777777" w:rsidR="00131C26" w:rsidRDefault="00131C26" w:rsidP="00131C26">
            <w:pPr>
              <w:jc w:val="center"/>
            </w:pPr>
          </w:p>
          <w:p w14:paraId="4D707743" w14:textId="77777777" w:rsidR="00131C26" w:rsidRDefault="00131C26" w:rsidP="00131C26">
            <w:pPr>
              <w:jc w:val="center"/>
            </w:pPr>
          </w:p>
          <w:p w14:paraId="596907D5" w14:textId="3F1CC2F8" w:rsidR="00131C26" w:rsidRPr="001D19FB" w:rsidRDefault="00131C26" w:rsidP="00131C26">
            <w:pPr>
              <w:jc w:val="center"/>
            </w:pPr>
            <w:r w:rsidRPr="001D19FB">
              <w:t>11</w:t>
            </w:r>
          </w:p>
        </w:tc>
        <w:tc>
          <w:tcPr>
            <w:tcW w:w="4677" w:type="dxa"/>
            <w:vAlign w:val="center"/>
          </w:tcPr>
          <w:p w14:paraId="2D5E5311" w14:textId="096762EB" w:rsidR="00131C26" w:rsidRPr="00BD5EA2" w:rsidRDefault="00131C26" w:rsidP="00131C26">
            <w:pPr>
              <w:jc w:val="both"/>
            </w:pPr>
            <w:r w:rsidRPr="00BD5EA2">
              <w:t>Hằng năm, 100% cán bộ, công chức phụ trách lĩnh vực văn hóa - xã hội, thông tin cơ sở, chuyển đổi số, quản lý đô thị được tham gia bồi dưỡng, cập nhật kiến thức, kỹ năng chuyên môn, nghiệp vụ.</w:t>
            </w:r>
          </w:p>
        </w:tc>
        <w:tc>
          <w:tcPr>
            <w:tcW w:w="2835" w:type="dxa"/>
            <w:vAlign w:val="center"/>
          </w:tcPr>
          <w:p w14:paraId="16A5811B" w14:textId="5E4A7AA8" w:rsidR="00131C26" w:rsidRPr="00BD5EA2" w:rsidRDefault="00131C26" w:rsidP="00131C26">
            <w:pPr>
              <w:jc w:val="both"/>
            </w:pPr>
            <w:r w:rsidRPr="00BD5EA2">
              <w:t>Tiếp tục nâng cao chất lượng nguồn nhân lực làm công tác văn hóa, truyền thông cơ sở và chuyển đổi số.</w:t>
            </w:r>
          </w:p>
        </w:tc>
        <w:tc>
          <w:tcPr>
            <w:tcW w:w="1843" w:type="dxa"/>
            <w:vAlign w:val="center"/>
          </w:tcPr>
          <w:p w14:paraId="665698B0" w14:textId="0D87896C" w:rsidR="00131C26" w:rsidRPr="00BD5EA2" w:rsidRDefault="00131C26" w:rsidP="00131C26">
            <w:pPr>
              <w:jc w:val="both"/>
            </w:pPr>
            <w:r w:rsidRPr="00BD5EA2">
              <w:t xml:space="preserve">Phòng </w:t>
            </w:r>
            <w:r>
              <w:t>Văn hoá – Xã hội</w:t>
            </w:r>
          </w:p>
        </w:tc>
        <w:tc>
          <w:tcPr>
            <w:tcW w:w="2977" w:type="dxa"/>
            <w:vAlign w:val="center"/>
          </w:tcPr>
          <w:p w14:paraId="232C7467" w14:textId="27E9CF20" w:rsidR="00131C26" w:rsidRPr="00BD5EA2" w:rsidRDefault="00131C26" w:rsidP="00131C26">
            <w:pPr>
              <w:jc w:val="both"/>
            </w:pPr>
            <w:r w:rsidRPr="00BD5EA2">
              <w:t>Các cơ quan chuyên môn thuộc UBND phường</w:t>
            </w:r>
          </w:p>
        </w:tc>
      </w:tr>
      <w:tr w:rsidR="00131C26" w14:paraId="72151EB7" w14:textId="77777777" w:rsidTr="00131C26">
        <w:tc>
          <w:tcPr>
            <w:tcW w:w="704" w:type="dxa"/>
          </w:tcPr>
          <w:p w14:paraId="02761815" w14:textId="77777777" w:rsidR="00131C26" w:rsidRDefault="00131C26" w:rsidP="00131C26">
            <w:pPr>
              <w:jc w:val="center"/>
            </w:pPr>
          </w:p>
          <w:p w14:paraId="527373B8" w14:textId="77777777" w:rsidR="00131C26" w:rsidRDefault="00131C26" w:rsidP="00131C26">
            <w:pPr>
              <w:jc w:val="center"/>
            </w:pPr>
          </w:p>
          <w:p w14:paraId="42556919" w14:textId="77777777" w:rsidR="00131C26" w:rsidRDefault="00131C26" w:rsidP="00131C26">
            <w:pPr>
              <w:jc w:val="center"/>
            </w:pPr>
          </w:p>
          <w:p w14:paraId="63E85B0C" w14:textId="77777777" w:rsidR="00131C26" w:rsidRDefault="00131C26" w:rsidP="00131C26">
            <w:pPr>
              <w:jc w:val="center"/>
            </w:pPr>
          </w:p>
          <w:p w14:paraId="2D39FFA2" w14:textId="61ADCEEE" w:rsidR="00131C26" w:rsidRPr="001D19FB" w:rsidRDefault="00131C26" w:rsidP="00131C26">
            <w:pPr>
              <w:jc w:val="center"/>
            </w:pPr>
            <w:r>
              <w:t>12</w:t>
            </w:r>
          </w:p>
        </w:tc>
        <w:tc>
          <w:tcPr>
            <w:tcW w:w="4677" w:type="dxa"/>
            <w:vAlign w:val="center"/>
          </w:tcPr>
          <w:p w14:paraId="2510C56A" w14:textId="33171E14" w:rsidR="00131C26" w:rsidRPr="00BD5EA2" w:rsidRDefault="00131C26" w:rsidP="00131C26">
            <w:pPr>
              <w:jc w:val="both"/>
            </w:pPr>
            <w:r w:rsidRPr="00BD5EA2">
              <w:t>Đẩy mạnh tuyên truyền, đấu tranh phòng, chống các biểu hiện suy thoái về đạo đức, lối sống, mê tín dị đoan, tệ nạn xã hội, thông tin xấu độc trên không gian mạng.</w:t>
            </w:r>
          </w:p>
        </w:tc>
        <w:tc>
          <w:tcPr>
            <w:tcW w:w="2835" w:type="dxa"/>
            <w:vAlign w:val="center"/>
          </w:tcPr>
          <w:p w14:paraId="0F724C00" w14:textId="18E9B465" w:rsidR="00131C26" w:rsidRPr="00BD5EA2" w:rsidRDefault="00131C26" w:rsidP="00131C26">
            <w:pPr>
              <w:jc w:val="both"/>
            </w:pPr>
            <w:r w:rsidRPr="00BD5EA2">
              <w:t>Xây dựng môi trường văn hóa an toàn, lành mạnh, nhân văn trong gia đình, nhà trường, cơ quan, đơn vị và trên không gian mạng.</w:t>
            </w:r>
          </w:p>
        </w:tc>
        <w:tc>
          <w:tcPr>
            <w:tcW w:w="1843" w:type="dxa"/>
            <w:vAlign w:val="center"/>
          </w:tcPr>
          <w:p w14:paraId="2EDA6355" w14:textId="58BA32F9" w:rsidR="00131C26" w:rsidRPr="00BD5EA2" w:rsidRDefault="00131C26" w:rsidP="00131C26">
            <w:pPr>
              <w:jc w:val="both"/>
            </w:pPr>
            <w:r w:rsidRPr="00BD5EA2">
              <w:t>Ban Xây dựng Đảng</w:t>
            </w:r>
          </w:p>
        </w:tc>
        <w:tc>
          <w:tcPr>
            <w:tcW w:w="2977" w:type="dxa"/>
            <w:vAlign w:val="center"/>
          </w:tcPr>
          <w:p w14:paraId="0B218AB9" w14:textId="30314A2A" w:rsidR="00131C26" w:rsidRPr="00BD5EA2" w:rsidRDefault="00131C26" w:rsidP="00131C26">
            <w:pPr>
              <w:jc w:val="both"/>
            </w:pPr>
            <w:r w:rsidRPr="00BD5EA2">
              <w:t>Công an phường; Phòng Văn hóa - Xã hội</w:t>
            </w:r>
            <w:r>
              <w:t xml:space="preserve">, </w:t>
            </w:r>
            <w:r w:rsidRPr="00BD5EA2">
              <w:t>Các chi</w:t>
            </w:r>
            <w:r>
              <w:t>, đảng bộ cớ sở, chi</w:t>
            </w:r>
            <w:r w:rsidRPr="00BD5EA2">
              <w:t xml:space="preserve"> bộ</w:t>
            </w:r>
            <w:r>
              <w:t xml:space="preserve"> trực thuộc</w:t>
            </w:r>
            <w:r w:rsidRPr="00BD5EA2">
              <w:t>, cơ quan, đơn vị, khối phố</w:t>
            </w:r>
          </w:p>
        </w:tc>
      </w:tr>
      <w:tr w:rsidR="00131C26" w14:paraId="7CCC973B" w14:textId="77777777" w:rsidTr="00131C26">
        <w:tc>
          <w:tcPr>
            <w:tcW w:w="704" w:type="dxa"/>
          </w:tcPr>
          <w:p w14:paraId="2AD06430" w14:textId="77777777" w:rsidR="00131C26" w:rsidRDefault="00131C26" w:rsidP="00131C26">
            <w:pPr>
              <w:jc w:val="center"/>
            </w:pPr>
          </w:p>
          <w:p w14:paraId="7BFB94EA" w14:textId="77777777" w:rsidR="00131C26" w:rsidRDefault="00131C26" w:rsidP="00131C26">
            <w:pPr>
              <w:jc w:val="center"/>
            </w:pPr>
          </w:p>
          <w:p w14:paraId="676E52C1" w14:textId="17A04ECC" w:rsidR="00131C26" w:rsidRPr="001D19FB" w:rsidRDefault="00131C26" w:rsidP="00131C26">
            <w:pPr>
              <w:jc w:val="center"/>
            </w:pPr>
            <w:r w:rsidRPr="001D19FB">
              <w:t>13</w:t>
            </w:r>
          </w:p>
        </w:tc>
        <w:tc>
          <w:tcPr>
            <w:tcW w:w="4677" w:type="dxa"/>
            <w:vAlign w:val="center"/>
          </w:tcPr>
          <w:p w14:paraId="0E69B21F" w14:textId="4413821F" w:rsidR="00131C26" w:rsidRPr="00BD5EA2" w:rsidRDefault="00131C26" w:rsidP="00131C26">
            <w:pPr>
              <w:jc w:val="both"/>
            </w:pPr>
            <w:r w:rsidRPr="00BD5EA2">
              <w:t>Huy động, lồng ghép và sử dụng hiệu quả các nguồn lực từ ngân sách nhà nước, nguồn xã hội hóa và các nguồn hợp pháp khác cho phát triển văn hóa, thể thao, bảo tồn di sản và xây dựng thiết chế văn hóa cơ sở.</w:t>
            </w:r>
          </w:p>
        </w:tc>
        <w:tc>
          <w:tcPr>
            <w:tcW w:w="2835" w:type="dxa"/>
            <w:vAlign w:val="center"/>
          </w:tcPr>
          <w:p w14:paraId="07E31A58" w14:textId="3B73BCFF" w:rsidR="00131C26" w:rsidRPr="00BD5EA2" w:rsidRDefault="00131C26" w:rsidP="00131C26">
            <w:pPr>
              <w:jc w:val="both"/>
            </w:pPr>
            <w:r w:rsidRPr="00BD5EA2">
              <w:t>Tăng dần nguồn lực đầu tư cho phát triển văn hóa; mở rộng xã hội hóa các hoạt động văn hóa, thể thao, du lịch.</w:t>
            </w:r>
          </w:p>
        </w:tc>
        <w:tc>
          <w:tcPr>
            <w:tcW w:w="1843" w:type="dxa"/>
            <w:vAlign w:val="center"/>
          </w:tcPr>
          <w:p w14:paraId="2E765599" w14:textId="6E831F53" w:rsidR="00131C26" w:rsidRPr="00BD5EA2" w:rsidRDefault="00131C26" w:rsidP="00131C26">
            <w:pPr>
              <w:jc w:val="both"/>
            </w:pPr>
            <w:r w:rsidRPr="00BD5EA2">
              <w:t xml:space="preserve">Phòng </w:t>
            </w:r>
            <w:r>
              <w:t>Kinh tế - Hạ tầng&amp; Đô thị</w:t>
            </w:r>
          </w:p>
        </w:tc>
        <w:tc>
          <w:tcPr>
            <w:tcW w:w="2977" w:type="dxa"/>
            <w:vAlign w:val="center"/>
          </w:tcPr>
          <w:p w14:paraId="0CBE87D5" w14:textId="7A24F233" w:rsidR="00131C26" w:rsidRPr="00BD5EA2" w:rsidRDefault="00131C26" w:rsidP="00131C26">
            <w:pPr>
              <w:jc w:val="both"/>
            </w:pPr>
            <w:r w:rsidRPr="00BD5EA2">
              <w:t>Phòng Văn hóa - Xã hội</w:t>
            </w:r>
            <w:r>
              <w:t xml:space="preserve">, </w:t>
            </w:r>
            <w:r w:rsidRPr="00BD5EA2">
              <w:t>Các cơ quan, đơn vị liên quan</w:t>
            </w:r>
          </w:p>
        </w:tc>
      </w:tr>
    </w:tbl>
    <w:p w14:paraId="546A573F" w14:textId="77777777" w:rsidR="006453B9" w:rsidRDefault="006453B9" w:rsidP="0020152D">
      <w:pPr>
        <w:spacing w:after="0"/>
        <w:jc w:val="center"/>
        <w:rPr>
          <w:i/>
          <w:iCs/>
          <w:sz w:val="28"/>
          <w:szCs w:val="28"/>
        </w:rPr>
      </w:pPr>
    </w:p>
    <w:p w14:paraId="424234DE" w14:textId="77777777" w:rsidR="00500437" w:rsidRPr="0020152D" w:rsidRDefault="00500437" w:rsidP="0020152D">
      <w:pPr>
        <w:spacing w:after="0"/>
        <w:jc w:val="center"/>
        <w:rPr>
          <w:i/>
          <w:iCs/>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5302C0" w:rsidRPr="004F7515" w14:paraId="46983240" w14:textId="77777777" w:rsidTr="005302C0">
        <w:trPr>
          <w:tblCellSpacing w:w="15" w:type="dxa"/>
        </w:trPr>
        <w:tc>
          <w:tcPr>
            <w:tcW w:w="0" w:type="auto"/>
            <w:vAlign w:val="center"/>
            <w:hideMark/>
          </w:tcPr>
          <w:p w14:paraId="62121D8B" w14:textId="4EB99BA3" w:rsidR="005302C0" w:rsidRPr="004F7515" w:rsidRDefault="005302C0" w:rsidP="004F7515">
            <w:pPr>
              <w:spacing w:after="0"/>
              <w:jc w:val="center"/>
              <w:rPr>
                <w:b/>
                <w:bCs/>
                <w:i/>
                <w:iCs/>
              </w:rPr>
            </w:pPr>
          </w:p>
        </w:tc>
        <w:tc>
          <w:tcPr>
            <w:tcW w:w="0" w:type="auto"/>
            <w:vAlign w:val="center"/>
            <w:hideMark/>
          </w:tcPr>
          <w:p w14:paraId="6C04571A" w14:textId="69859ECA" w:rsidR="005302C0" w:rsidRPr="004F7515" w:rsidRDefault="005302C0" w:rsidP="004F7515">
            <w:pPr>
              <w:spacing w:after="0"/>
              <w:jc w:val="center"/>
              <w:rPr>
                <w:b/>
                <w:bCs/>
                <w:i/>
                <w:iCs/>
              </w:rPr>
            </w:pPr>
          </w:p>
        </w:tc>
        <w:tc>
          <w:tcPr>
            <w:tcW w:w="0" w:type="auto"/>
            <w:vAlign w:val="center"/>
            <w:hideMark/>
          </w:tcPr>
          <w:p w14:paraId="7D8E7914" w14:textId="43C2199F" w:rsidR="005302C0" w:rsidRPr="004F7515" w:rsidRDefault="005302C0" w:rsidP="004F7515">
            <w:pPr>
              <w:spacing w:after="0"/>
              <w:jc w:val="center"/>
              <w:rPr>
                <w:b/>
                <w:bCs/>
                <w:i/>
                <w:iCs/>
              </w:rPr>
            </w:pPr>
          </w:p>
        </w:tc>
      </w:tr>
    </w:tbl>
    <w:p w14:paraId="57CC9026" w14:textId="77777777" w:rsidR="004F7515" w:rsidRPr="004F7515" w:rsidRDefault="004F7515" w:rsidP="004F7515">
      <w:pPr>
        <w:spacing w:after="0"/>
        <w:jc w:val="center"/>
        <w:rPr>
          <w:i/>
          <w:iCs/>
          <w:vanish/>
        </w:rPr>
      </w:pPr>
    </w:p>
    <w:p w14:paraId="092A6181" w14:textId="77777777" w:rsidR="004F7515" w:rsidRPr="004F7515" w:rsidRDefault="004F7515" w:rsidP="004F7515">
      <w:pPr>
        <w:spacing w:after="0"/>
        <w:jc w:val="center"/>
        <w:rPr>
          <w:i/>
          <w:iCs/>
          <w:vanish/>
        </w:rPr>
      </w:pPr>
    </w:p>
    <w:p w14:paraId="18A535EE" w14:textId="77777777" w:rsidR="004F7515" w:rsidRPr="004F7515" w:rsidRDefault="004F7515" w:rsidP="004F7515">
      <w:pPr>
        <w:spacing w:after="0"/>
        <w:jc w:val="center"/>
        <w:rPr>
          <w:i/>
          <w:iCs/>
          <w:vanish/>
        </w:rPr>
      </w:pPr>
    </w:p>
    <w:p w14:paraId="729DC1BE" w14:textId="77777777" w:rsidR="004F7515" w:rsidRPr="004F7515" w:rsidRDefault="004F7515" w:rsidP="004F7515">
      <w:pPr>
        <w:spacing w:after="0"/>
        <w:jc w:val="center"/>
        <w:rPr>
          <w:i/>
          <w:iCs/>
          <w:vanish/>
        </w:rPr>
      </w:pPr>
    </w:p>
    <w:p w14:paraId="5311E164" w14:textId="77777777" w:rsidR="004F7515" w:rsidRPr="004F7515" w:rsidRDefault="004F7515" w:rsidP="004F7515">
      <w:pPr>
        <w:spacing w:after="0"/>
        <w:jc w:val="center"/>
        <w:rPr>
          <w:i/>
          <w:iCs/>
          <w:vanish/>
        </w:rPr>
      </w:pPr>
    </w:p>
    <w:p w14:paraId="4A74C75A" w14:textId="77777777" w:rsidR="004F7515" w:rsidRPr="004F7515" w:rsidRDefault="004F7515" w:rsidP="004F7515">
      <w:pPr>
        <w:spacing w:after="0"/>
        <w:jc w:val="center"/>
        <w:rPr>
          <w:i/>
          <w:iCs/>
          <w:vanish/>
        </w:rPr>
      </w:pPr>
    </w:p>
    <w:p w14:paraId="444828E1" w14:textId="77777777" w:rsidR="004F7515" w:rsidRPr="004F7515" w:rsidRDefault="004F7515" w:rsidP="004F7515">
      <w:pPr>
        <w:spacing w:after="0"/>
        <w:jc w:val="center"/>
        <w:rPr>
          <w:i/>
          <w:i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125B9" w:rsidRPr="004F7515" w14:paraId="63978574" w14:textId="77777777" w:rsidTr="00C125B9">
        <w:trPr>
          <w:tblCellSpacing w:w="15" w:type="dxa"/>
        </w:trPr>
        <w:tc>
          <w:tcPr>
            <w:tcW w:w="0" w:type="auto"/>
            <w:vAlign w:val="center"/>
          </w:tcPr>
          <w:p w14:paraId="1F551875" w14:textId="686168F4" w:rsidR="00C125B9" w:rsidRPr="004F7515" w:rsidRDefault="00C125B9" w:rsidP="004F7515">
            <w:pPr>
              <w:spacing w:after="0"/>
              <w:jc w:val="center"/>
              <w:rPr>
                <w:i/>
                <w:iCs/>
              </w:rPr>
            </w:pPr>
          </w:p>
        </w:tc>
      </w:tr>
    </w:tbl>
    <w:p w14:paraId="46E7B092" w14:textId="77777777" w:rsidR="004F7515" w:rsidRPr="004F7515" w:rsidRDefault="004F7515" w:rsidP="004F7515">
      <w:pPr>
        <w:spacing w:after="0"/>
        <w:jc w:val="center"/>
        <w:rPr>
          <w:i/>
          <w:iCs/>
          <w:vanish/>
        </w:rPr>
      </w:pPr>
    </w:p>
    <w:p w14:paraId="013F9841" w14:textId="77777777" w:rsidR="004F7515" w:rsidRPr="004F7515" w:rsidRDefault="004F7515" w:rsidP="004F7515">
      <w:pPr>
        <w:spacing w:after="0"/>
        <w:jc w:val="center"/>
        <w:rPr>
          <w:i/>
          <w:iCs/>
          <w:vanish/>
        </w:rPr>
      </w:pPr>
    </w:p>
    <w:p w14:paraId="51D5D757" w14:textId="77777777" w:rsidR="004F7515" w:rsidRPr="004F7515" w:rsidRDefault="004F7515" w:rsidP="004F7515">
      <w:pPr>
        <w:spacing w:after="0"/>
        <w:jc w:val="center"/>
        <w:rPr>
          <w:i/>
          <w:iCs/>
          <w:vanish/>
        </w:rPr>
      </w:pPr>
    </w:p>
    <w:p w14:paraId="46D681E3" w14:textId="77777777" w:rsidR="004F7515" w:rsidRPr="004F7515" w:rsidRDefault="004F7515" w:rsidP="004F7515">
      <w:pPr>
        <w:spacing w:after="0"/>
        <w:jc w:val="center"/>
        <w:rPr>
          <w:i/>
          <w:iCs/>
          <w:vanish/>
        </w:rPr>
      </w:pPr>
    </w:p>
    <w:p w14:paraId="76CD8CCC" w14:textId="77777777" w:rsidR="004F7515" w:rsidRPr="004F7515" w:rsidRDefault="004F7515" w:rsidP="004F7515">
      <w:pPr>
        <w:spacing w:after="0"/>
        <w:jc w:val="center"/>
        <w:rPr>
          <w:i/>
          <w:iCs/>
          <w:vanish/>
        </w:rPr>
      </w:pPr>
    </w:p>
    <w:p w14:paraId="7F768B57" w14:textId="77777777" w:rsidR="004F7515" w:rsidRPr="004F7515" w:rsidRDefault="004F7515" w:rsidP="004F7515">
      <w:pPr>
        <w:spacing w:after="0"/>
        <w:jc w:val="center"/>
        <w:rPr>
          <w:i/>
          <w:iCs/>
          <w:vanish/>
        </w:rPr>
      </w:pPr>
    </w:p>
    <w:p w14:paraId="66D9ACB8" w14:textId="77777777" w:rsidR="0020152D" w:rsidRDefault="0020152D" w:rsidP="00704D09">
      <w:pPr>
        <w:spacing w:after="0"/>
        <w:jc w:val="center"/>
        <w:rPr>
          <w:i/>
          <w:iCs/>
        </w:rPr>
      </w:pPr>
    </w:p>
    <w:p w14:paraId="4754131A" w14:textId="77777777" w:rsidR="0020152D" w:rsidRDefault="0020152D" w:rsidP="00704D09">
      <w:pPr>
        <w:spacing w:after="0"/>
        <w:jc w:val="center"/>
        <w:rPr>
          <w:i/>
          <w:iCs/>
        </w:rPr>
      </w:pPr>
    </w:p>
    <w:sectPr w:rsidR="0020152D" w:rsidSect="004F7515">
      <w:pgSz w:w="15840" w:h="12240" w:orient="landscape"/>
      <w:pgMar w:top="170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46B"/>
    <w:rsid w:val="000A7A8D"/>
    <w:rsid w:val="00131C26"/>
    <w:rsid w:val="001741F1"/>
    <w:rsid w:val="001D19FB"/>
    <w:rsid w:val="0020152D"/>
    <w:rsid w:val="002371B7"/>
    <w:rsid w:val="0031155F"/>
    <w:rsid w:val="00342805"/>
    <w:rsid w:val="003851EA"/>
    <w:rsid w:val="004F7515"/>
    <w:rsid w:val="00500437"/>
    <w:rsid w:val="005302C0"/>
    <w:rsid w:val="005B7BCA"/>
    <w:rsid w:val="006453B9"/>
    <w:rsid w:val="006A13E3"/>
    <w:rsid w:val="006E0388"/>
    <w:rsid w:val="006F0302"/>
    <w:rsid w:val="00704D09"/>
    <w:rsid w:val="007305C8"/>
    <w:rsid w:val="00777EAC"/>
    <w:rsid w:val="008164BA"/>
    <w:rsid w:val="008D1B47"/>
    <w:rsid w:val="00991A49"/>
    <w:rsid w:val="00BD5EA2"/>
    <w:rsid w:val="00C125B9"/>
    <w:rsid w:val="00E0446B"/>
    <w:rsid w:val="00F3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63B6"/>
  <w15:chartTrackingRefBased/>
  <w15:docId w15:val="{664D69D3-DC4E-4BE5-8852-7A8D5A7D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4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44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446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446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0446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044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44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44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44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4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44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446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446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0446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044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44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44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44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4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46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4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446B"/>
    <w:pPr>
      <w:spacing w:before="160"/>
      <w:jc w:val="center"/>
    </w:pPr>
    <w:rPr>
      <w:i/>
      <w:iCs/>
      <w:color w:val="404040" w:themeColor="text1" w:themeTint="BF"/>
    </w:rPr>
  </w:style>
  <w:style w:type="character" w:customStyle="1" w:styleId="QuoteChar">
    <w:name w:val="Quote Char"/>
    <w:basedOn w:val="DefaultParagraphFont"/>
    <w:link w:val="Quote"/>
    <w:uiPriority w:val="29"/>
    <w:rsid w:val="00E0446B"/>
    <w:rPr>
      <w:i/>
      <w:iCs/>
      <w:color w:val="404040" w:themeColor="text1" w:themeTint="BF"/>
    </w:rPr>
  </w:style>
  <w:style w:type="paragraph" w:styleId="ListParagraph">
    <w:name w:val="List Paragraph"/>
    <w:basedOn w:val="Normal"/>
    <w:uiPriority w:val="34"/>
    <w:qFormat/>
    <w:rsid w:val="00E0446B"/>
    <w:pPr>
      <w:ind w:left="720"/>
      <w:contextualSpacing/>
    </w:pPr>
  </w:style>
  <w:style w:type="character" w:styleId="IntenseEmphasis">
    <w:name w:val="Intense Emphasis"/>
    <w:basedOn w:val="DefaultParagraphFont"/>
    <w:uiPriority w:val="21"/>
    <w:qFormat/>
    <w:rsid w:val="00E0446B"/>
    <w:rPr>
      <w:i/>
      <w:iCs/>
      <w:color w:val="2F5496" w:themeColor="accent1" w:themeShade="BF"/>
    </w:rPr>
  </w:style>
  <w:style w:type="paragraph" w:styleId="IntenseQuote">
    <w:name w:val="Intense Quote"/>
    <w:basedOn w:val="Normal"/>
    <w:next w:val="Normal"/>
    <w:link w:val="IntenseQuoteChar"/>
    <w:uiPriority w:val="30"/>
    <w:qFormat/>
    <w:rsid w:val="00E044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446B"/>
    <w:rPr>
      <w:i/>
      <w:iCs/>
      <w:color w:val="2F5496" w:themeColor="accent1" w:themeShade="BF"/>
    </w:rPr>
  </w:style>
  <w:style w:type="character" w:styleId="IntenseReference">
    <w:name w:val="Intense Reference"/>
    <w:basedOn w:val="DefaultParagraphFont"/>
    <w:uiPriority w:val="32"/>
    <w:qFormat/>
    <w:rsid w:val="00E0446B"/>
    <w:rPr>
      <w:b/>
      <w:bCs/>
      <w:smallCaps/>
      <w:color w:val="2F5496" w:themeColor="accent1" w:themeShade="BF"/>
      <w:spacing w:val="5"/>
    </w:rPr>
  </w:style>
  <w:style w:type="table" w:styleId="TableGrid">
    <w:name w:val="Table Grid"/>
    <w:basedOn w:val="TableNormal"/>
    <w:uiPriority w:val="39"/>
    <w:rsid w:val="0053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2026-06-24T04:13:00Z</dcterms:created>
  <dcterms:modified xsi:type="dcterms:W3CDTF">2026-06-25T01:07:00Z</dcterms:modified>
</cp:coreProperties>
</file>